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招标开启和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标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657F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6617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潜在投标人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招标文件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ADE7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二、招标文件开启规则</w:t>
      </w:r>
    </w:p>
    <w:p w14:paraId="2FF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投标人数量为≥3家时，开启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33D6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（二）招标失败转为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77B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至投标截止时间只有2家投标人递交投标文件的</w:t>
      </w:r>
      <w:bookmarkStart w:id="6" w:name="OLE_LINK6"/>
      <w:bookmarkStart w:id="7" w:name="OLE_LINK8"/>
      <w:bookmarkStart w:id="8" w:name="OLE_LINK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本项目招标失败</w:t>
      </w:r>
      <w:bookmarkEnd w:id="6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转为谈判采</w:t>
      </w:r>
      <w:bookmarkEnd w:id="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购-单轮谈判</w:t>
      </w:r>
      <w:bookmarkEnd w:id="7"/>
      <w:bookmarkEnd w:id="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。</w:t>
      </w:r>
    </w:p>
    <w:p w14:paraId="1C0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（三）招标失败转为直接采购开启情形：</w:t>
      </w:r>
      <w:bookmarkStart w:id="14" w:name="_GoBack"/>
      <w:bookmarkEnd w:id="14"/>
    </w:p>
    <w:p w14:paraId="3983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第一次招标只有1家供应商参与的，不予开启，直接流标;若第二次及以上招标采购仍只有1家供应商参与的，转为直接采购；</w:t>
      </w:r>
    </w:p>
    <w:p w14:paraId="4EBC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（四）无供应商响应本项目的，开标流标。</w:t>
      </w:r>
    </w:p>
    <w:p w14:paraId="25C4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三、评标/评审规则</w:t>
      </w:r>
    </w:p>
    <w:p w14:paraId="48975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（一）本项目设有预测价，预测价作为评标/评审委员会的重要参考。</w:t>
      </w:r>
    </w:p>
    <w:p w14:paraId="4216E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招标阶段评标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按相关法律法规、制度、规定执行。</w:t>
      </w:r>
    </w:p>
    <w:p w14:paraId="6A22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经评审若</w:t>
      </w:r>
      <w:bookmarkStart w:id="9" w:name="OLE_LINK1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有两家及以上</w:t>
      </w:r>
      <w:bookmarkEnd w:id="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有效投标人报价最低且价格相等时，按生产型投标人优先于流通型投标人排序;若仍有并列情形时，按投标人注册资金由高到低排序。若还是无法分出优先顺序时，</w:t>
      </w:r>
      <w:bookmarkStart w:id="10" w:name="OLE_LINK1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并列推荐，招标人或将</w:t>
      </w:r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在定标时按是否为战略供应商、合作期长短等因素自行确定中标人。</w:t>
      </w:r>
    </w:p>
    <w:p w14:paraId="6AB72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谈判阶段评审规则：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0F409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72A22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1452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 w14:paraId="37121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1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推荐中标/成交  </w:t>
      </w:r>
    </w:p>
    <w:p w14:paraId="72EC7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2" w:name="OLE_LINK12"/>
      <w:bookmarkStart w:id="13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1.定标/成交原则:总价最低有效供应商成交；评标/评审委员会给出评标/评审结果转委托方确定。</w:t>
      </w:r>
    </w:p>
    <w:bookmarkEnd w:id="12"/>
    <w:bookmarkEnd w:id="13"/>
    <w:p w14:paraId="17D2C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2541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p w14:paraId="53B3CB48"/>
    <w:p w14:paraId="500B2340"/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049C"/>
    <w:rsid w:val="0122792A"/>
    <w:rsid w:val="11641468"/>
    <w:rsid w:val="1918096B"/>
    <w:rsid w:val="1A0C58C9"/>
    <w:rsid w:val="2EC456D6"/>
    <w:rsid w:val="303630A9"/>
    <w:rsid w:val="34D57E3D"/>
    <w:rsid w:val="3B9358D8"/>
    <w:rsid w:val="40084A5B"/>
    <w:rsid w:val="48345060"/>
    <w:rsid w:val="63C35974"/>
    <w:rsid w:val="6754049C"/>
    <w:rsid w:val="7D881A84"/>
    <w:rsid w:val="7F0B5F70"/>
    <w:rsid w:val="7F6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914</Characters>
  <Lines>0</Lines>
  <Paragraphs>0</Paragraphs>
  <TotalTime>4</TotalTime>
  <ScaleCrop>false</ScaleCrop>
  <LinksUpToDate>false</LinksUpToDate>
  <CharactersWithSpaces>916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2025-03-27T03:43:00Z</dcterms:created>
  <dc:creator>Administrator</dc:creator>
  <cp:lastModifiedBy>徐琴</cp:lastModifiedBy>
  <dcterms:modified xsi:type="dcterms:W3CDTF">2026-06-25T07:38:12Z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CEB896B3E64A4AF88525C3D578125E5D_13</vt:lpwstr>
  </property>
  <property fmtid="{D5CDD505-2E9C-101B-9397-08002B2CF9AE}" pid="4" name="KSOTemplateDocerSaveRecord">
    <vt:lpwstr>eyJoZGlkIjoiZmVlZTQ4YjIyZTIwYjI1ZDY1NzQwMmFmOTgxNjRkMGYiLCJ1c2VySWQiOiI4MzY0OTE4NzQifQ==</vt:lpwstr>
  </property>
</Properties>
</file>